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6635" w:rsidRDefault="001F6635" w:rsidP="001F6635">
      <w:pPr>
        <w:pStyle w:val="CRCoverPage"/>
        <w:tabs>
          <w:tab w:val="right" w:pos="9638"/>
        </w:tabs>
        <w:spacing w:after="0"/>
        <w:rPr>
          <w:rFonts w:cs="Arial"/>
          <w:b/>
          <w:noProof/>
          <w:sz w:val="24"/>
        </w:rPr>
      </w:pPr>
      <w:r>
        <w:rPr>
          <w:rFonts w:cs="Arial"/>
          <w:b/>
          <w:noProof/>
          <w:sz w:val="24"/>
        </w:rPr>
        <w:t>SA WG2 Meeting #1</w:t>
      </w:r>
      <w:r w:rsidR="005B0880">
        <w:rPr>
          <w:rFonts w:cs="Arial"/>
          <w:b/>
          <w:noProof/>
          <w:sz w:val="24"/>
        </w:rPr>
        <w:t>3</w:t>
      </w:r>
      <w:r w:rsidR="00AB42FE">
        <w:rPr>
          <w:rFonts w:cs="Arial"/>
          <w:b/>
          <w:noProof/>
          <w:sz w:val="24"/>
        </w:rPr>
        <w:t>6</w:t>
      </w:r>
      <w:r>
        <w:rPr>
          <w:rFonts w:cs="Arial"/>
          <w:b/>
          <w:noProof/>
          <w:sz w:val="24"/>
        </w:rPr>
        <w:t xml:space="preserve"> </w:t>
      </w:r>
      <w:r>
        <w:rPr>
          <w:rFonts w:cs="Arial"/>
          <w:b/>
          <w:noProof/>
          <w:sz w:val="24"/>
        </w:rPr>
        <w:tab/>
        <w:t>S2-1</w:t>
      </w:r>
      <w:r w:rsidR="005B0880">
        <w:rPr>
          <w:rFonts w:cs="Arial"/>
          <w:b/>
          <w:noProof/>
          <w:sz w:val="24"/>
        </w:rPr>
        <w:t>9</w:t>
      </w:r>
      <w:r w:rsidR="00AB42FE">
        <w:rPr>
          <w:rFonts w:cs="Arial"/>
          <w:b/>
          <w:noProof/>
          <w:sz w:val="24"/>
        </w:rPr>
        <w:t>1</w:t>
      </w:r>
      <w:r w:rsidR="00CA644F">
        <w:rPr>
          <w:rFonts w:cs="Arial"/>
          <w:b/>
          <w:noProof/>
          <w:sz w:val="24"/>
        </w:rPr>
        <w:t>1514</w:t>
      </w:r>
      <w:bookmarkStart w:id="0" w:name="_GoBack"/>
      <w:bookmarkEnd w:id="0"/>
    </w:p>
    <w:p w:rsidR="001F6635" w:rsidRDefault="004002FC" w:rsidP="001F6635">
      <w:pPr>
        <w:pStyle w:val="CRCoverPage"/>
        <w:pBdr>
          <w:bottom w:val="single" w:sz="4" w:space="1" w:color="auto"/>
        </w:pBdr>
        <w:tabs>
          <w:tab w:val="right" w:pos="9639"/>
        </w:tabs>
        <w:spacing w:after="0"/>
        <w:rPr>
          <w:rFonts w:cs="Arial"/>
          <w:b/>
          <w:noProof/>
          <w:color w:val="0070C0"/>
          <w:sz w:val="24"/>
        </w:rPr>
      </w:pPr>
      <w:r>
        <w:rPr>
          <w:rFonts w:cs="Arial"/>
          <w:b/>
          <w:noProof/>
          <w:sz w:val="24"/>
        </w:rPr>
        <w:t>1</w:t>
      </w:r>
      <w:r w:rsidR="00675698">
        <w:rPr>
          <w:rFonts w:cs="Arial"/>
          <w:b/>
          <w:noProof/>
          <w:sz w:val="24"/>
        </w:rPr>
        <w:t>8</w:t>
      </w:r>
      <w:r w:rsidR="005B0880" w:rsidRPr="000F766F">
        <w:rPr>
          <w:rFonts w:cs="Arial"/>
          <w:b/>
          <w:noProof/>
          <w:sz w:val="24"/>
        </w:rPr>
        <w:t xml:space="preserve"> </w:t>
      </w:r>
      <w:r w:rsidR="00AB42FE">
        <w:rPr>
          <w:rFonts w:cs="Arial"/>
          <w:b/>
          <w:noProof/>
          <w:sz w:val="24"/>
        </w:rPr>
        <w:t>– 22 Nov 2019, Reno NV, USA</w:t>
      </w:r>
      <w:r w:rsidR="001F6635">
        <w:rPr>
          <w:rFonts w:cs="Arial"/>
          <w:b/>
          <w:noProof/>
          <w:sz w:val="24"/>
        </w:rPr>
        <w:tab/>
      </w:r>
      <w:r w:rsidR="001F6635">
        <w:rPr>
          <w:rFonts w:cs="Arial"/>
          <w:b/>
          <w:noProof/>
          <w:color w:val="3333FF"/>
          <w:sz w:val="24"/>
        </w:rPr>
        <w:t xml:space="preserve"> </w:t>
      </w:r>
      <w:r w:rsidR="001F6635">
        <w:rPr>
          <w:b/>
          <w:noProof/>
          <w:color w:val="3333FF"/>
          <w:sz w:val="24"/>
        </w:rPr>
        <w:t>(revision of S2-1</w:t>
      </w:r>
      <w:r w:rsidR="005B0880">
        <w:rPr>
          <w:b/>
          <w:noProof/>
          <w:color w:val="3333FF"/>
          <w:sz w:val="24"/>
        </w:rPr>
        <w:t>9</w:t>
      </w:r>
      <w:r w:rsidR="00AB42FE">
        <w:rPr>
          <w:b/>
          <w:noProof/>
          <w:color w:val="3333FF"/>
          <w:sz w:val="24"/>
        </w:rPr>
        <w:t>1</w:t>
      </w:r>
      <w:r w:rsidR="001F6635">
        <w:rPr>
          <w:b/>
          <w:noProof/>
          <w:color w:val="3333FF"/>
          <w:sz w:val="24"/>
        </w:rPr>
        <w:t>xxxx)</w:t>
      </w:r>
      <w:r w:rsidR="001F6635">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657E9F">
        <w:rPr>
          <w:rFonts w:ascii="Arial" w:hAnsi="Arial" w:cs="Arial"/>
          <w:b/>
        </w:rPr>
        <w:t>Mobility Restrictions in super-national cell coverage area</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1050EF">
        <w:rPr>
          <w:rFonts w:ascii="Arial" w:hAnsi="Arial" w:cs="Arial"/>
          <w:b/>
        </w:rPr>
        <w:t>8.1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4002FC">
        <w:rPr>
          <w:rFonts w:ascii="Arial" w:hAnsi="Arial" w:cs="Arial"/>
          <w:b/>
        </w:rPr>
        <w:t>FS_5GSAT_ARCH / Rel-16</w:t>
      </w:r>
    </w:p>
    <w:p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657E9F">
        <w:rPr>
          <w:rFonts w:ascii="Arial" w:hAnsi="Arial" w:cs="Arial"/>
          <w:i/>
        </w:rPr>
        <w:t>handling of Mobility Restrictions in super-national cell coverage area.</w:t>
      </w:r>
    </w:p>
    <w:p w:rsidR="00440983" w:rsidRDefault="00C23677" w:rsidP="00C23677">
      <w:pPr>
        <w:pStyle w:val="Heading1"/>
      </w:pPr>
      <w:r>
        <w:t xml:space="preserve">1. </w:t>
      </w:r>
      <w:r w:rsidR="00956595">
        <w:t>Introduction</w:t>
      </w:r>
    </w:p>
    <w:p w:rsidR="00657E9F" w:rsidRDefault="00657E9F" w:rsidP="00657E9F">
      <w:r>
        <w:t xml:space="preserve">Key Issue #10 identifies </w:t>
      </w:r>
      <w:r w:rsidR="00956595">
        <w:t>use cases where satellite access with</w:t>
      </w:r>
      <w:r>
        <w:t xml:space="preserve"> </w:t>
      </w:r>
      <w:r w:rsidR="004A7EAC">
        <w:t>super-national cell coverage areas</w:t>
      </w:r>
      <w:r w:rsidR="00956595">
        <w:t xml:space="preserve"> would have to meet local regulatory requirements and network operational requirements</w:t>
      </w:r>
      <w:r w:rsidR="004A7EAC">
        <w:t xml:space="preserve">. </w:t>
      </w:r>
      <w:r w:rsidR="00956595">
        <w:t xml:space="preserve">This document focuses on the challenges the super-national cell coverage area on ensuring that the UE is registered in a PLMN of the country of the UE location, and predictable behaviour when processing Mobility Restrictions. </w:t>
      </w:r>
    </w:p>
    <w:p w:rsidR="00657E9F" w:rsidRDefault="00657E9F" w:rsidP="00657E9F">
      <w:r>
        <w:t>For terrestrial network access, TS 23.122 makes the following definition by mapping “country” to network topological Mobile Country Code, MCC</w:t>
      </w:r>
      <w:r w:rsidR="004A7EAC">
        <w:t>:</w:t>
      </w:r>
    </w:p>
    <w:p w:rsidR="00657E9F" w:rsidRDefault="00657E9F" w:rsidP="004A7EAC">
      <w:pPr>
        <w:ind w:left="1298"/>
      </w:pPr>
      <w:r>
        <w:rPr>
          <w:b/>
        </w:rPr>
        <w:t xml:space="preserve">Country: </w:t>
      </w:r>
      <w:r>
        <w:rPr>
          <w:bCs/>
        </w:rPr>
        <w:t>A country is identified by a single MCC value, with the exception that MCC values 310 through 316 identify a single country (USA) and MCC values 404 through 406 identify a single country (India).</w:t>
      </w:r>
    </w:p>
    <w:p w:rsidR="004A7EAC" w:rsidRDefault="004A7EAC" w:rsidP="00657E9F">
      <w:r>
        <w:t xml:space="preserve">For all terrestrial networks, and for some satellite network deployments, the coverage area of each cell can be assumed to remain inside one country with reasonable accuracy. The already specified Mobility Restrictions that apply per RAT, per TAI and per PLMN are assumed to be re-used in such configurations. </w:t>
      </w:r>
    </w:p>
    <w:p w:rsidR="00657E9F" w:rsidRDefault="00657E9F" w:rsidP="00657E9F">
      <w:r>
        <w:t xml:space="preserve">This document analyses the use cases and configurations where the </w:t>
      </w:r>
      <w:r w:rsidR="004A7EAC">
        <w:t>coverage area</w:t>
      </w:r>
      <w:r w:rsidR="00956595">
        <w:t xml:space="preserve"> of a single cell</w:t>
      </w:r>
      <w:r w:rsidR="004A7EAC">
        <w:t xml:space="preserve"> can span over the territory of multiple countries, as shown in TR 23.737 Figure 5.10.1-1.</w:t>
      </w:r>
    </w:p>
    <w:p w:rsidR="004A7EAC" w:rsidRDefault="004A7EAC" w:rsidP="00657E9F">
      <w:pPr>
        <w:rPr>
          <w:lang w:eastAsia="ko-KR"/>
        </w:rPr>
      </w:pPr>
      <w:r w:rsidRPr="00FF2153">
        <w:rPr>
          <w:lang w:eastAsia="ko-KR"/>
        </w:rPr>
        <w:object w:dxaOrig="8311" w:dyaOrig="75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75pt;height:296.25pt" o:ole="">
            <v:imagedata r:id="rId12" o:title=""/>
          </v:shape>
          <o:OLEObject Type="Embed" ProgID="Visio.Drawing.11" ShapeID="_x0000_i1025" DrawAspect="Content" ObjectID="_1634726003" r:id="rId13"/>
        </w:object>
      </w:r>
    </w:p>
    <w:p w:rsidR="004A7EAC" w:rsidRDefault="00A61EBC" w:rsidP="00657E9F">
      <w:pPr>
        <w:rPr>
          <w:lang w:eastAsia="ko-KR"/>
        </w:rPr>
      </w:pPr>
      <w:r>
        <w:rPr>
          <w:lang w:eastAsia="ko-KR"/>
        </w:rPr>
        <w:lastRenderedPageBreak/>
        <w:t xml:space="preserve">The first goal of the UE network selection procedure is to ensure that the UE is registered in the highest priority PLMN that is available in the UE location. Once the PLMN is selected and the UE attempts registration, Mobility Restrictions may apply within the selected PLMN. </w:t>
      </w:r>
    </w:p>
    <w:p w:rsidR="00EA1BB3" w:rsidRDefault="00EA1BB3" w:rsidP="00657E9F">
      <w:pPr>
        <w:rPr>
          <w:lang w:eastAsia="ko-KR"/>
        </w:rPr>
      </w:pPr>
      <w:r>
        <w:rPr>
          <w:lang w:eastAsia="ko-KR"/>
        </w:rPr>
        <w:t xml:space="preserve">The network selection procedure will need to meet the following main requirements: </w:t>
      </w:r>
    </w:p>
    <w:p w:rsidR="004A7EAC" w:rsidRDefault="004A7EAC" w:rsidP="004A7EAC">
      <w:pPr>
        <w:pStyle w:val="ListParagraph"/>
        <w:numPr>
          <w:ilvl w:val="0"/>
          <w:numId w:val="26"/>
        </w:numPr>
      </w:pPr>
      <w:r>
        <w:t xml:space="preserve">PLMN </w:t>
      </w:r>
      <w:r w:rsidR="002C3279">
        <w:t>selection</w:t>
      </w:r>
      <w:r w:rsidR="00E61384">
        <w:t xml:space="preserve"> already contains country-specific restrictions</w:t>
      </w:r>
    </w:p>
    <w:p w:rsidR="00E61384" w:rsidRDefault="00E61384" w:rsidP="00E61384">
      <w:pPr>
        <w:pStyle w:val="ListParagraph"/>
        <w:numPr>
          <w:ilvl w:val="1"/>
          <w:numId w:val="26"/>
        </w:numPr>
      </w:pPr>
      <w:r>
        <w:t>For background scanning of higher priority PLMN (+RAT), the UE only considers candidate PLMNs (+RAT) in the same country as the current serving VPLMN.</w:t>
      </w:r>
    </w:p>
    <w:p w:rsidR="00E61384" w:rsidRDefault="00E61384" w:rsidP="00E61384">
      <w:pPr>
        <w:pStyle w:val="ListParagraph"/>
        <w:numPr>
          <w:ilvl w:val="1"/>
          <w:numId w:val="26"/>
        </w:numPr>
      </w:pPr>
      <w:r>
        <w:t xml:space="preserve">In VPLMN, the UE only considers equivalent PLMNs of the same country as the VPLMN </w:t>
      </w:r>
    </w:p>
    <w:p w:rsidR="004A7EAC" w:rsidRDefault="004A7EAC" w:rsidP="004A7EAC">
      <w:pPr>
        <w:pStyle w:val="ListParagraph"/>
        <w:numPr>
          <w:ilvl w:val="0"/>
          <w:numId w:val="26"/>
        </w:numPr>
      </w:pPr>
      <w:r>
        <w:t>Mobility Restrictions: RAT restriction inside allowed PLMN</w:t>
      </w:r>
    </w:p>
    <w:p w:rsidR="004A7EAC" w:rsidRDefault="004A7EAC" w:rsidP="004A7EAC">
      <w:pPr>
        <w:pStyle w:val="ListParagraph"/>
        <w:numPr>
          <w:ilvl w:val="1"/>
          <w:numId w:val="26"/>
        </w:numPr>
      </w:pPr>
      <w:r>
        <w:t>Certain RAT</w:t>
      </w:r>
      <w:r w:rsidR="003E69FB">
        <w:t xml:space="preserve"> Type</w:t>
      </w:r>
      <w:r>
        <w:t xml:space="preserve"> is not allowed based on subscription</w:t>
      </w:r>
    </w:p>
    <w:p w:rsidR="004A7EAC" w:rsidRDefault="004A7EAC" w:rsidP="004A7EAC">
      <w:pPr>
        <w:pStyle w:val="ListParagraph"/>
        <w:numPr>
          <w:ilvl w:val="0"/>
          <w:numId w:val="26"/>
        </w:numPr>
      </w:pPr>
      <w:r>
        <w:t>Mobility Restrictions: Forbidden Area inside allowed PLMN</w:t>
      </w:r>
    </w:p>
    <w:p w:rsidR="003E69FB" w:rsidRDefault="003E69FB" w:rsidP="003E69FB">
      <w:pPr>
        <w:pStyle w:val="ListParagraph"/>
        <w:numPr>
          <w:ilvl w:val="1"/>
          <w:numId w:val="26"/>
        </w:numPr>
      </w:pPr>
      <w:r w:rsidRPr="009E0DE1">
        <w:t>In a Forbidden Area, the UE, based on subscription, is not permitted to initiate any communication with the network for this PLMN</w:t>
      </w:r>
      <w:r>
        <w:t xml:space="preserve"> </w:t>
      </w:r>
    </w:p>
    <w:p w:rsidR="003E69FB" w:rsidRDefault="003E69FB" w:rsidP="003E69FB">
      <w:pPr>
        <w:pStyle w:val="ListParagraph"/>
        <w:numPr>
          <w:ilvl w:val="0"/>
          <w:numId w:val="26"/>
        </w:numPr>
      </w:pPr>
      <w:r>
        <w:t>Mobility Restrictions: Non-Allowed Area inside allowed PLMN</w:t>
      </w:r>
    </w:p>
    <w:p w:rsidR="003E69FB" w:rsidRDefault="003E69FB" w:rsidP="003E69FB">
      <w:pPr>
        <w:pStyle w:val="ListParagraph"/>
        <w:numPr>
          <w:ilvl w:val="1"/>
          <w:numId w:val="26"/>
        </w:numPr>
      </w:pPr>
      <w:r w:rsidRPr="009E0DE1">
        <w:t>UE and the network are not allowed to initiate Service Request or SM signalling</w:t>
      </w:r>
      <w:r>
        <w:t xml:space="preserve"> (except for PS Data Off status change reporting)</w:t>
      </w:r>
      <w:r w:rsidRPr="009E0DE1">
        <w:t xml:space="preserve"> to obtain user services (both in CM-IDLE and in CM-CONNECTED states). The UE shall not use the entering of a Non-Allowed Area as a criterion for Cell Reselection</w:t>
      </w:r>
      <w:r>
        <w:t>,</w:t>
      </w:r>
      <w:r w:rsidRPr="009E0DE1">
        <w:t xml:space="preserve"> a trigger for PLMN Selection</w:t>
      </w:r>
      <w:r>
        <w:t xml:space="preserve"> or Domain selection for UE originating sessions or calls</w:t>
      </w:r>
      <w:r w:rsidRPr="009E0DE1">
        <w:t>. The RRC procedures while the UE is in CM-CONNECTED with RRC Inactive state are unchanged compared to when the UE is in an Allowed Area. The RM procedures are unchanged compared to when the UE is in an Allowed Area. The UE in a Non-Allowed Area shall respond to core network paging</w:t>
      </w:r>
      <w:r>
        <w:t xml:space="preserve"> or NAS Notification message from non-3GPP access</w:t>
      </w:r>
      <w:r w:rsidRPr="009E0DE1">
        <w:t xml:space="preserve"> with Service Request and RAN paging.</w:t>
      </w:r>
    </w:p>
    <w:p w:rsidR="003E69FB" w:rsidRDefault="00385550" w:rsidP="003E69FB">
      <w:pPr>
        <w:pStyle w:val="ListParagraph"/>
        <w:numPr>
          <w:ilvl w:val="0"/>
          <w:numId w:val="26"/>
        </w:numPr>
      </w:pPr>
      <w:r>
        <w:t xml:space="preserve">Mobility Restrictions: </w:t>
      </w:r>
      <w:r w:rsidR="003E69FB">
        <w:t>Core Network type restriction</w:t>
      </w:r>
    </w:p>
    <w:p w:rsidR="003E69FB" w:rsidRDefault="003E69FB" w:rsidP="003E69FB">
      <w:pPr>
        <w:pStyle w:val="ListParagraph"/>
        <w:numPr>
          <w:ilvl w:val="1"/>
          <w:numId w:val="26"/>
        </w:numPr>
      </w:pPr>
      <w:r w:rsidRPr="009E0DE1">
        <w:t>Defines whether UE is allowed to connect to 5GC</w:t>
      </w:r>
      <w:r>
        <w:t xml:space="preserve"> only, EPC only, both 5GC and EPC</w:t>
      </w:r>
      <w:r w:rsidRPr="009E0DE1">
        <w:t xml:space="preserve"> for this PLMN.</w:t>
      </w:r>
      <w:r>
        <w:t xml:space="preserve"> The Core Network type restriction when received applies in the PLMN either to both 3GPP and non-3GPP Access Types or to non-3GPP Access Type only.</w:t>
      </w:r>
    </w:p>
    <w:p w:rsidR="003E69FB" w:rsidRDefault="00177EDD" w:rsidP="003E69FB">
      <w:pPr>
        <w:pStyle w:val="ListParagraph"/>
        <w:numPr>
          <w:ilvl w:val="0"/>
          <w:numId w:val="26"/>
        </w:numPr>
      </w:pPr>
      <w:r>
        <w:t xml:space="preserve">Mobility Restriction: </w:t>
      </w:r>
      <w:r w:rsidR="003E69FB">
        <w:t>Closed Access Group information</w:t>
      </w:r>
    </w:p>
    <w:p w:rsidR="003E69FB" w:rsidRDefault="00C23677" w:rsidP="003E69FB">
      <w:pPr>
        <w:pStyle w:val="ListParagraph"/>
        <w:numPr>
          <w:ilvl w:val="1"/>
          <w:numId w:val="26"/>
        </w:numPr>
      </w:pPr>
      <w:r>
        <w:t>A Closed Access Group identifies a group of subscribers who are permitted to access one or more CAG cells associated to the CAG.</w:t>
      </w:r>
    </w:p>
    <w:p w:rsidR="00FD7189" w:rsidRDefault="00C23677" w:rsidP="00FD7189">
      <w:pPr>
        <w:pStyle w:val="Heading1"/>
      </w:pPr>
      <w:r>
        <w:t>2. Gap Analysis</w:t>
      </w:r>
    </w:p>
    <w:p w:rsidR="00F956BC" w:rsidRDefault="00C23677" w:rsidP="00C23677">
      <w:pPr>
        <w:pStyle w:val="Heading2"/>
      </w:pPr>
      <w:r>
        <w:t>2.1 PLMN selection</w:t>
      </w:r>
    </w:p>
    <w:p w:rsidR="00956595" w:rsidRDefault="00956595" w:rsidP="00CA644F">
      <w:pPr>
        <w:pStyle w:val="Heading3"/>
      </w:pPr>
      <w:r>
        <w:t>2.1.1 Terrestrial network configuration</w:t>
      </w:r>
    </w:p>
    <w:p w:rsidR="00C23677" w:rsidRDefault="00BA368D" w:rsidP="00C23677">
      <w:r>
        <w:t>E</w:t>
      </w:r>
      <w:r w:rsidR="00640248">
        <w:t xml:space="preserve">ach PLMN </w:t>
      </w:r>
      <w:r>
        <w:t xml:space="preserve">is licensed to </w:t>
      </w:r>
      <w:r w:rsidR="00640248">
        <w:t>operate in its home country</w:t>
      </w:r>
      <w:r>
        <w:t xml:space="preserve">. In terrestrial networks, this is achieved by radio network planning that keeps the coverage area of each PLMN inside the PLMNs home country with reasonable accuracy. If the UE has roamed to </w:t>
      </w:r>
      <w:r w:rsidR="00956595">
        <w:t xml:space="preserve">a </w:t>
      </w:r>
      <w:r>
        <w:t xml:space="preserve">VPLMN, it will have to limit its background scanning of potential higher priority PLMN (+RAT) to candidate PLMNs of the same country as the current serving VPLMN (TS 23.122 clause 4.4.3.3.1). The UE determines country based on </w:t>
      </w:r>
      <w:r w:rsidR="00640248">
        <w:t>Mobile Country Code (TS 23.122 clause 1.2 and Annex B).</w:t>
      </w:r>
    </w:p>
    <w:p w:rsidR="00C23677" w:rsidRDefault="00F907A6" w:rsidP="00C23677">
      <w:pPr>
        <w:rPr>
          <w:b/>
        </w:rPr>
      </w:pPr>
      <w:r w:rsidRPr="00F907A6">
        <w:rPr>
          <w:b/>
        </w:rPr>
        <w:t xml:space="preserve">Observation 2.1.1: </w:t>
      </w:r>
      <w:r w:rsidR="00BA368D">
        <w:rPr>
          <w:b/>
        </w:rPr>
        <w:t>PLMN selection principles of terrestrial networks can be re-used without change</w:t>
      </w:r>
      <w:r w:rsidR="00607051">
        <w:rPr>
          <w:b/>
        </w:rPr>
        <w:t xml:space="preserve"> if the satellite coverage area is reasonably well aligned with the country borders.</w:t>
      </w:r>
    </w:p>
    <w:p w:rsidR="00956595" w:rsidRDefault="00956595" w:rsidP="00CA644F">
      <w:pPr>
        <w:pStyle w:val="Heading3"/>
      </w:pPr>
      <w:r>
        <w:t xml:space="preserve">2.1.2 Super-National cell coverage with </w:t>
      </w:r>
      <w:r w:rsidR="00173F40">
        <w:t>MCC = 901</w:t>
      </w:r>
    </w:p>
    <w:p w:rsidR="00BA368D" w:rsidRDefault="00BA368D" w:rsidP="00C23677">
      <w:r>
        <w:t xml:space="preserve">If large coverage area of satellite cell does not respect country borders, then the issues that need to be addressed depend on the use case and configuration of the satellite network as follows. </w:t>
      </w:r>
    </w:p>
    <w:p w:rsidR="00BA368D" w:rsidRDefault="00BA368D" w:rsidP="00C23677">
      <w:r>
        <w:t xml:space="preserve">If the satellite network is identified as a PLMN of its own </w:t>
      </w:r>
      <w:r w:rsidR="00607051">
        <w:t xml:space="preserve">under 901 MCC, or if the PLMN code included in the satellite cell SIB is not available as terrestrial PLMN ID in the UE location, then the access control to that PLMN can be done via the existing procedures that allow the selected PLMN to either accept or reject the Registration Request from the UE with appropriate cause value indicating the reason to reject and leading to predictable UE behaviour depending on the cause value. That can be e.g. </w:t>
      </w:r>
      <w:r w:rsidR="00C035EB">
        <w:t xml:space="preserve">network indicated cause value “PLMN not allowed” which causes the UE </w:t>
      </w:r>
      <w:r w:rsidR="00607051">
        <w:t>to memorise the forbidden PLMN and to avoid selecting it again in the future</w:t>
      </w:r>
      <w:r w:rsidR="00C035EB">
        <w:t xml:space="preserve"> (TS 24.501, clause 5.3.13A)</w:t>
      </w:r>
      <w:r w:rsidR="00607051">
        <w:t xml:space="preserve">. </w:t>
      </w:r>
    </w:p>
    <w:p w:rsidR="00607051" w:rsidRDefault="00607051" w:rsidP="00607051">
      <w:pPr>
        <w:rPr>
          <w:b/>
        </w:rPr>
      </w:pPr>
      <w:r w:rsidRPr="00F907A6">
        <w:rPr>
          <w:b/>
        </w:rPr>
        <w:lastRenderedPageBreak/>
        <w:t>Observation 2.1.</w:t>
      </w:r>
      <w:r>
        <w:rPr>
          <w:b/>
        </w:rPr>
        <w:t>2</w:t>
      </w:r>
      <w:r w:rsidRPr="00F907A6">
        <w:rPr>
          <w:b/>
        </w:rPr>
        <w:t xml:space="preserve">: </w:t>
      </w:r>
      <w:r>
        <w:rPr>
          <w:b/>
        </w:rPr>
        <w:t xml:space="preserve">PLMN selection principles of terrestrial networks can be re-used without change if the satellite PLMN with super-national coverage area is using dedicated PLMN ID that is not shared with terrestrial PLMNs. </w:t>
      </w:r>
    </w:p>
    <w:p w:rsidR="00173F40" w:rsidRDefault="00173F40" w:rsidP="00173F40">
      <w:pPr>
        <w:pStyle w:val="Heading3"/>
      </w:pPr>
      <w:r>
        <w:t>2.1.3 Super-national cell coverage with MCC = TN MCC</w:t>
      </w:r>
    </w:p>
    <w:p w:rsidR="00607051" w:rsidRDefault="00BC2965" w:rsidP="00C23677">
      <w:r>
        <w:t>If the satellite network is re-using terrestrial PLMN ID which is a roaming partner of the UEs HPLMN, then the existing PLMN selection rules and the Registration Management procedures in the CN cannot handle the situation correctly</w:t>
      </w:r>
      <w:r w:rsidR="00D4680C">
        <w:t xml:space="preserve">, as there is no means to restrict the UE from using VPLMN A of country A in country B or C (see TR 23.737 Figure 5.10.1-1). If the UE is by subscription allowed to access satellite RAT Type, then RAT Restriction will not apply either. </w:t>
      </w:r>
    </w:p>
    <w:p w:rsidR="00607051" w:rsidRPr="00B74501" w:rsidRDefault="00D4680C" w:rsidP="00C23677">
      <w:pPr>
        <w:rPr>
          <w:b/>
        </w:rPr>
      </w:pPr>
      <w:r w:rsidRPr="00B74501">
        <w:rPr>
          <w:b/>
        </w:rPr>
        <w:t xml:space="preserve">Observation 2.1.3: PLMN selection principles of terrestrial networks </w:t>
      </w:r>
      <w:r w:rsidR="00C035EB">
        <w:rPr>
          <w:b/>
        </w:rPr>
        <w:t>cannot prevent the UE from registering to</w:t>
      </w:r>
      <w:r w:rsidRPr="00B74501">
        <w:rPr>
          <w:b/>
        </w:rPr>
        <w:t xml:space="preserve"> satellite network of PLMN from country A when the UE is located in country B or C. </w:t>
      </w:r>
    </w:p>
    <w:p w:rsidR="00D4680C" w:rsidRPr="00BA368D" w:rsidRDefault="00D4680C" w:rsidP="00C23677">
      <w:r w:rsidRPr="00B74501">
        <w:rPr>
          <w:b/>
        </w:rPr>
        <w:t xml:space="preserve">Observation 2.1.4: </w:t>
      </w:r>
      <w:r w:rsidR="00C035EB">
        <w:rPr>
          <w:b/>
        </w:rPr>
        <w:t xml:space="preserve">When the UE </w:t>
      </w:r>
      <w:r w:rsidR="001A4191">
        <w:rPr>
          <w:b/>
        </w:rPr>
        <w:t xml:space="preserve">that </w:t>
      </w:r>
      <w:r w:rsidR="00C035EB">
        <w:rPr>
          <w:b/>
        </w:rPr>
        <w:t>has already registered to a</w:t>
      </w:r>
      <w:r w:rsidR="001A4191">
        <w:rPr>
          <w:b/>
        </w:rPr>
        <w:t xml:space="preserve"> PLMN of the same country as the present UE location moves to another country while remaining under the coverage area of the same serving cell,</w:t>
      </w:r>
      <w:r w:rsidR="00C035EB">
        <w:rPr>
          <w:b/>
        </w:rPr>
        <w:t xml:space="preserve"> </w:t>
      </w:r>
      <w:r w:rsidRPr="00B74501">
        <w:rPr>
          <w:b/>
        </w:rPr>
        <w:t xml:space="preserve">PLMN selection principles of terrestrial networks </w:t>
      </w:r>
      <w:r w:rsidR="00C035EB">
        <w:rPr>
          <w:b/>
        </w:rPr>
        <w:t>do not automatically move the UE to</w:t>
      </w:r>
      <w:r w:rsidR="001A4191">
        <w:rPr>
          <w:b/>
        </w:rPr>
        <w:t xml:space="preserve"> a PLMN of the new UE location country. </w:t>
      </w:r>
      <w:r>
        <w:rPr>
          <w:b/>
        </w:rPr>
        <w:t xml:space="preserve">(defined by MCC). </w:t>
      </w:r>
    </w:p>
    <w:p w:rsidR="00C23677" w:rsidRDefault="00C23677" w:rsidP="00C23677">
      <w:pPr>
        <w:pStyle w:val="Heading2"/>
      </w:pPr>
      <w:r>
        <w:t>2.2 RAT Restriction</w:t>
      </w:r>
    </w:p>
    <w:p w:rsidR="00C23677" w:rsidRDefault="00836BBD" w:rsidP="00C23677">
      <w:r>
        <w:t xml:space="preserve">The intention of RAT restriction is to determine based on subscription information whether the UE is allowed to access certain RAT Type. It is expected that new RAT Types will be specified for LEO, MEO and GEO satellite access. Consequently, the existing RAT Restrictions framework applies. </w:t>
      </w:r>
    </w:p>
    <w:p w:rsidR="00C23677" w:rsidRPr="00836BBD" w:rsidRDefault="00F907A6" w:rsidP="00C23677">
      <w:pPr>
        <w:rPr>
          <w:b/>
        </w:rPr>
      </w:pPr>
      <w:r w:rsidRPr="00F907A6">
        <w:rPr>
          <w:b/>
        </w:rPr>
        <w:t>Observation 2.</w:t>
      </w:r>
      <w:r>
        <w:rPr>
          <w:b/>
        </w:rPr>
        <w:t>2</w:t>
      </w:r>
      <w:r w:rsidRPr="00F907A6">
        <w:rPr>
          <w:b/>
        </w:rPr>
        <w:t xml:space="preserve">.1: </w:t>
      </w:r>
      <w:r w:rsidR="00836BBD">
        <w:rPr>
          <w:b/>
        </w:rPr>
        <w:t xml:space="preserve">Assuming new RAT Types are specified for satellite access, the RAT Restrictions can re-use the existing procedures. </w:t>
      </w:r>
    </w:p>
    <w:p w:rsidR="00C23677" w:rsidRDefault="00C23677" w:rsidP="00C23677">
      <w:pPr>
        <w:pStyle w:val="Heading2"/>
      </w:pPr>
      <w:r>
        <w:t xml:space="preserve">2.3 Forbidden Area </w:t>
      </w:r>
    </w:p>
    <w:p w:rsidR="00C23677" w:rsidRDefault="00B65DF9" w:rsidP="00C23677">
      <w:r>
        <w:t xml:space="preserve">Forbidden </w:t>
      </w:r>
      <w:r w:rsidR="00582429" w:rsidRPr="004214E1">
        <w:t xml:space="preserve">area can be expressed in terms of </w:t>
      </w:r>
      <w:r w:rsidRPr="004214E1">
        <w:t>Tracking Area</w:t>
      </w:r>
      <w:r w:rsidR="002C06D2" w:rsidRPr="004214E1">
        <w:t>s</w:t>
      </w:r>
      <w:r w:rsidR="00582429" w:rsidRPr="004214E1">
        <w:t>, which</w:t>
      </w:r>
      <w:r w:rsidR="002C06D2" w:rsidRPr="004214E1">
        <w:t xml:space="preserve"> are stored by the UE until switch-off, USIM removal</w:t>
      </w:r>
      <w:r w:rsidR="00877BC5" w:rsidRPr="004214E1">
        <w:t xml:space="preserve"> and </w:t>
      </w:r>
      <w:r w:rsidR="002C06D2" w:rsidRPr="004214E1">
        <w:t>periodically after</w:t>
      </w:r>
      <w:r w:rsidR="00D12BE9" w:rsidRPr="004214E1">
        <w:t xml:space="preserve"> a period of</w:t>
      </w:r>
      <w:r w:rsidR="002C06D2" w:rsidRPr="004214E1">
        <w:t xml:space="preserve"> 12 to 24 hours. </w:t>
      </w:r>
      <w:r w:rsidR="00877BC5" w:rsidRPr="004214E1">
        <w:t>UE shall also remove and individual TA from forbidden TA list if it receives a previously forbidden TA in TA List or service area list of allowed Tracking Areas</w:t>
      </w:r>
      <w:r w:rsidR="00C03BC6" w:rsidRPr="004214E1">
        <w:t xml:space="preserve"> in REGISTRATION ACCEPT or UE CONFIGURATION UPDATE</w:t>
      </w:r>
      <w:r w:rsidR="00C11C20">
        <w:t xml:space="preserve"> COMMAND</w:t>
      </w:r>
      <w:r w:rsidR="00877BC5">
        <w:t xml:space="preserve">. </w:t>
      </w:r>
    </w:p>
    <w:p w:rsidR="004102C1" w:rsidRDefault="00AA3E84" w:rsidP="00C23677">
      <w:r>
        <w:t xml:space="preserve">The same principles can </w:t>
      </w:r>
      <w:r w:rsidR="004102C1">
        <w:t>apply on satellite access</w:t>
      </w:r>
      <w:r>
        <w:t>. I</w:t>
      </w:r>
      <w:r w:rsidR="004102C1">
        <w:t xml:space="preserve">n case of super-national </w:t>
      </w:r>
      <w:r>
        <w:t xml:space="preserve">cell </w:t>
      </w:r>
      <w:r w:rsidR="004102C1">
        <w:t>coverage area,</w:t>
      </w:r>
      <w:r>
        <w:t xml:space="preserve"> also</w:t>
      </w:r>
      <w:r w:rsidR="004102C1">
        <w:t xml:space="preserve"> the</w:t>
      </w:r>
      <w:r>
        <w:t xml:space="preserve"> </w:t>
      </w:r>
      <w:r w:rsidR="004102C1">
        <w:t>TA size will be large</w:t>
      </w:r>
      <w:r>
        <w:t>. P</w:t>
      </w:r>
      <w:r w:rsidR="000A0A41">
        <w:t xml:space="preserve">eriodical deletion of the “5GS forbidden tracking areas for roaming” list under large cell coverage area </w:t>
      </w:r>
      <w:r>
        <w:t>can</w:t>
      </w:r>
      <w:r w:rsidR="000A0A41">
        <w:t xml:space="preserve"> allow a large number of UEs to re-try registration to forbidden TA periodically</w:t>
      </w:r>
      <w:r>
        <w:t xml:space="preserve"> (once or twice a day).</w:t>
      </w:r>
    </w:p>
    <w:p w:rsidR="00C11E6D" w:rsidRDefault="00F907A6" w:rsidP="00C23677">
      <w:pPr>
        <w:rPr>
          <w:b/>
        </w:rPr>
      </w:pPr>
      <w:r w:rsidRPr="00F907A6">
        <w:rPr>
          <w:b/>
        </w:rPr>
        <w:t>Observation 2.</w:t>
      </w:r>
      <w:r>
        <w:rPr>
          <w:b/>
        </w:rPr>
        <w:t>3</w:t>
      </w:r>
      <w:r w:rsidRPr="00F907A6">
        <w:rPr>
          <w:b/>
        </w:rPr>
        <w:t xml:space="preserve">.1: </w:t>
      </w:r>
      <w:r w:rsidR="00AA3E84">
        <w:rPr>
          <w:b/>
        </w:rPr>
        <w:t xml:space="preserve">The Forbidden Area concept encoded as forbidden TAs can be re-used, but the </w:t>
      </w:r>
      <w:r w:rsidR="00367FF8">
        <w:rPr>
          <w:b/>
        </w:rPr>
        <w:t xml:space="preserve">minimum Forbidden Area size is determined by the cell coverage area. </w:t>
      </w:r>
    </w:p>
    <w:p w:rsidR="00F907A6" w:rsidRPr="00F907A6" w:rsidRDefault="00C11E6D" w:rsidP="00C23677">
      <w:pPr>
        <w:rPr>
          <w:b/>
        </w:rPr>
      </w:pPr>
      <w:r>
        <w:rPr>
          <w:b/>
        </w:rPr>
        <w:t xml:space="preserve">Observation 2.3.2: </w:t>
      </w:r>
      <w:r w:rsidR="00B74501">
        <w:rPr>
          <w:b/>
        </w:rPr>
        <w:t xml:space="preserve">UEs are allowed to delete </w:t>
      </w:r>
      <w:r w:rsidR="00B74501" w:rsidRPr="00B74501">
        <w:rPr>
          <w:b/>
        </w:rPr>
        <w:t>“5GS forbidden tracking areas for roaming”</w:t>
      </w:r>
      <w:r w:rsidR="00B74501">
        <w:rPr>
          <w:b/>
        </w:rPr>
        <w:t xml:space="preserve"> and re-try (just to get rejected again and to remember it for the next 12 to 24 hours), which increases the signalling overhead especially if Forbidden Area is applied on l</w:t>
      </w:r>
      <w:r w:rsidR="00367FF8">
        <w:rPr>
          <w:b/>
        </w:rPr>
        <w:t>arge</w:t>
      </w:r>
      <w:r w:rsidR="00B74501">
        <w:rPr>
          <w:b/>
        </w:rPr>
        <w:t xml:space="preserve"> UE population</w:t>
      </w:r>
      <w:r w:rsidR="00AA3E84">
        <w:rPr>
          <w:b/>
        </w:rPr>
        <w:t>.</w:t>
      </w:r>
    </w:p>
    <w:p w:rsidR="00C23677" w:rsidRDefault="00C23677" w:rsidP="00C23677">
      <w:pPr>
        <w:pStyle w:val="Heading2"/>
      </w:pPr>
      <w:r>
        <w:t>2.4 Non-Allowed Area</w:t>
      </w:r>
    </w:p>
    <w:p w:rsidR="003D5DDE" w:rsidRDefault="004940F6" w:rsidP="00C23677">
      <w:r>
        <w:t xml:space="preserve">Service Area restriction for Non-Allowed Area is defined via forbidden </w:t>
      </w:r>
      <w:r w:rsidR="00AD0ECF">
        <w:t>Tracking Areas that are indicated to the UE</w:t>
      </w:r>
      <w:r w:rsidR="008B3F7E">
        <w:t xml:space="preserve"> as part of Service Area List, which can indicate either allowed and non-allowed TAs of the serving PLMN or allowed and non-allowed TAs of a specific PLMN identified by MCC + MNC. </w:t>
      </w:r>
      <w:r w:rsidR="003D5DDE">
        <w:t>The UE deletes “non-</w:t>
      </w:r>
      <w:r w:rsidR="003D5DDE" w:rsidRPr="003F2702">
        <w:t>allowed tracking areas</w:t>
      </w:r>
      <w:r w:rsidR="003D5DDE">
        <w:t xml:space="preserve">” list when it receives a new “non-allowed tracking areas” list from the network or receives REGISTRATION ACCEPT without any </w:t>
      </w:r>
      <w:r w:rsidR="00817E5D">
        <w:t>Service Area restriction indication. The “non-</w:t>
      </w:r>
      <w:r w:rsidR="00817E5D" w:rsidRPr="003F2702">
        <w:t>allowed tracking areas</w:t>
      </w:r>
      <w:r w:rsidR="00817E5D">
        <w:t xml:space="preserve">” list is also deleted when the UE is switched off or the USIM is removed. </w:t>
      </w:r>
    </w:p>
    <w:p w:rsidR="003D5DDE" w:rsidRDefault="00773F6B" w:rsidP="00C23677">
      <w:r>
        <w:t xml:space="preserve">The same principles can apply on satellite access. In case of super-national cell coverage area, also the TA size will be large. UEs with old Non-Allowed Area </w:t>
      </w:r>
      <w:r w:rsidR="00367FF8">
        <w:t>do not re-try the same area spontaneously, as periodical deletion of the “non-</w:t>
      </w:r>
      <w:r w:rsidR="00367FF8" w:rsidRPr="003F2702">
        <w:t>allowed tracking areas</w:t>
      </w:r>
      <w:r w:rsidR="00367FF8">
        <w:t xml:space="preserve">” is not specified. </w:t>
      </w:r>
    </w:p>
    <w:p w:rsidR="00F907A6" w:rsidRPr="00F907A6" w:rsidRDefault="00F907A6" w:rsidP="00C23677">
      <w:pPr>
        <w:rPr>
          <w:b/>
        </w:rPr>
      </w:pPr>
      <w:r w:rsidRPr="00F907A6">
        <w:rPr>
          <w:b/>
        </w:rPr>
        <w:lastRenderedPageBreak/>
        <w:t>Observation 2.</w:t>
      </w:r>
      <w:r>
        <w:rPr>
          <w:b/>
        </w:rPr>
        <w:t>4</w:t>
      </w:r>
      <w:r w:rsidRPr="00F907A6">
        <w:rPr>
          <w:b/>
        </w:rPr>
        <w:t xml:space="preserve">.1: </w:t>
      </w:r>
      <w:r w:rsidR="00367FF8">
        <w:rPr>
          <w:b/>
        </w:rPr>
        <w:t xml:space="preserve">The </w:t>
      </w:r>
      <w:r w:rsidR="00BA7302">
        <w:rPr>
          <w:b/>
        </w:rPr>
        <w:t>Non-Allowed</w:t>
      </w:r>
      <w:r w:rsidR="00367FF8">
        <w:rPr>
          <w:b/>
        </w:rPr>
        <w:t xml:space="preserve"> Area concept encoded as forbidden TAs can be re-used, but the minimum </w:t>
      </w:r>
      <w:r w:rsidR="00BA7302">
        <w:rPr>
          <w:b/>
        </w:rPr>
        <w:t>Non-Allowed</w:t>
      </w:r>
      <w:r w:rsidR="00367FF8">
        <w:rPr>
          <w:b/>
        </w:rPr>
        <w:t xml:space="preserve"> Area size is determined by the cell coverage area.</w:t>
      </w:r>
    </w:p>
    <w:p w:rsidR="00C23677" w:rsidRDefault="00C23677" w:rsidP="00C23677">
      <w:pPr>
        <w:pStyle w:val="Heading2"/>
      </w:pPr>
      <w:r>
        <w:t xml:space="preserve">2.5 Core Network type </w:t>
      </w:r>
      <w:r w:rsidR="00FC140F">
        <w:t>r</w:t>
      </w:r>
      <w:r>
        <w:t>estriction</w:t>
      </w:r>
    </w:p>
    <w:p w:rsidR="008D107C" w:rsidRDefault="008D107C" w:rsidP="008D107C">
      <w:r>
        <w:t>Core Network type restriction evaluates the UE’s access right to EPC services and 5G</w:t>
      </w:r>
      <w:r w:rsidR="00BA72AE">
        <w:t>C</w:t>
      </w:r>
      <w:r>
        <w:t xml:space="preserve"> services. </w:t>
      </w:r>
    </w:p>
    <w:p w:rsidR="00F907A6" w:rsidRPr="00F907A6" w:rsidRDefault="008D107C" w:rsidP="008D107C">
      <w:pPr>
        <w:rPr>
          <w:b/>
        </w:rPr>
      </w:pPr>
      <w:r w:rsidRPr="00F907A6">
        <w:rPr>
          <w:b/>
        </w:rPr>
        <w:t>Observation 2.</w:t>
      </w:r>
      <w:r w:rsidR="00FC140F">
        <w:rPr>
          <w:b/>
        </w:rPr>
        <w:t>5</w:t>
      </w:r>
      <w:r w:rsidRPr="00F907A6">
        <w:rPr>
          <w:b/>
        </w:rPr>
        <w:t xml:space="preserve">.1: </w:t>
      </w:r>
      <w:r w:rsidR="00FC140F">
        <w:rPr>
          <w:b/>
        </w:rPr>
        <w:t>Core Network type restriction can re-use the existing procedures.</w:t>
      </w:r>
    </w:p>
    <w:p w:rsidR="00C23677" w:rsidRDefault="00C23677" w:rsidP="00C23677">
      <w:pPr>
        <w:pStyle w:val="Heading2"/>
      </w:pPr>
      <w:r>
        <w:t>2.6 CAG Restriction</w:t>
      </w:r>
    </w:p>
    <w:p w:rsidR="00CB5151" w:rsidRDefault="00E97039" w:rsidP="00F907A6">
      <w:r>
        <w:t>A Closed Access Group identifies a group of subscribers who are permitted to access one or more CAG cells associated to the CAG.</w:t>
      </w:r>
      <w:r w:rsidR="00CB5151">
        <w:t xml:space="preserve"> CAG restriction on a per cell basis and it can be used for the Public network integrated NPNs to prevent UE(s), which are not allowed to access the NPN via the associated cell(s), from automatically selecting and accessing the associated cell(s). </w:t>
      </w:r>
    </w:p>
    <w:p w:rsidR="00CB5151" w:rsidRDefault="00CB5151" w:rsidP="00F907A6">
      <w:r>
        <w:t>The existing mechanisms for CAG and NPN access can apply also over satellite access.</w:t>
      </w:r>
    </w:p>
    <w:p w:rsidR="00F907A6" w:rsidRPr="00F907A6" w:rsidRDefault="00F907A6" w:rsidP="00F907A6">
      <w:pPr>
        <w:rPr>
          <w:b/>
        </w:rPr>
      </w:pPr>
      <w:r w:rsidRPr="00F907A6">
        <w:rPr>
          <w:b/>
        </w:rPr>
        <w:t>Observation 2.</w:t>
      </w:r>
      <w:r>
        <w:rPr>
          <w:b/>
        </w:rPr>
        <w:t>6</w:t>
      </w:r>
      <w:r w:rsidRPr="00F907A6">
        <w:rPr>
          <w:b/>
        </w:rPr>
        <w:t xml:space="preserve">.1: </w:t>
      </w:r>
      <w:r w:rsidR="00CB5151">
        <w:rPr>
          <w:b/>
        </w:rPr>
        <w:t>CAG restriction can re-use the existing procedures.</w:t>
      </w:r>
    </w:p>
    <w:p w:rsidR="00080EF2" w:rsidRDefault="00080EF2" w:rsidP="00080EF2">
      <w:pPr>
        <w:pStyle w:val="Heading1"/>
      </w:pPr>
      <w:r>
        <w:t>3. Conclusions</w:t>
      </w:r>
    </w:p>
    <w:p w:rsidR="00080EF2" w:rsidRDefault="00C11E6D" w:rsidP="00080EF2">
      <w:r>
        <w:t>Most PLMN selection and Mobility Restrictions related procedures can be adopted as they are specified for terrestrial access, but the following identified gaps require specification work to allow satellite access deployment</w:t>
      </w:r>
      <w:r w:rsidR="001A4191">
        <w:t xml:space="preserve"> with super-national cell coverage areas</w:t>
      </w:r>
      <w:r>
        <w:t>:</w:t>
      </w:r>
    </w:p>
    <w:p w:rsidR="00C11E6D" w:rsidRDefault="00C11E6D" w:rsidP="00C11E6D">
      <w:pPr>
        <w:ind w:left="1298"/>
        <w:rPr>
          <w:b/>
        </w:rPr>
      </w:pPr>
      <w:r>
        <w:rPr>
          <w:b/>
        </w:rPr>
        <w:t>PLMN selection principles</w:t>
      </w:r>
      <w:r w:rsidR="004214E1">
        <w:rPr>
          <w:b/>
        </w:rPr>
        <w:t xml:space="preserve"> </w:t>
      </w:r>
      <w:r w:rsidR="001A4191">
        <w:rPr>
          <w:b/>
        </w:rPr>
        <w:t xml:space="preserve">allow the UE to </w:t>
      </w:r>
      <w:r w:rsidR="00F4330A">
        <w:rPr>
          <w:b/>
        </w:rPr>
        <w:t xml:space="preserve">register to </w:t>
      </w:r>
      <w:r>
        <w:rPr>
          <w:b/>
        </w:rPr>
        <w:t xml:space="preserve">satellite network of PLMN from country A when the UE is located in country B or C </w:t>
      </w:r>
      <w:r w:rsidR="00F4330A">
        <w:rPr>
          <w:b/>
        </w:rPr>
        <w:t xml:space="preserve">(Observation </w:t>
      </w:r>
      <w:r w:rsidR="00F4330A" w:rsidRPr="00F907A6">
        <w:rPr>
          <w:b/>
        </w:rPr>
        <w:t>2.1.</w:t>
      </w:r>
      <w:r w:rsidR="00F4330A">
        <w:rPr>
          <w:b/>
        </w:rPr>
        <w:t>3)</w:t>
      </w:r>
    </w:p>
    <w:p w:rsidR="001A4191" w:rsidRDefault="001A4191" w:rsidP="00C11E6D">
      <w:pPr>
        <w:ind w:left="1298"/>
        <w:rPr>
          <w:b/>
        </w:rPr>
      </w:pPr>
      <w:r>
        <w:rPr>
          <w:b/>
        </w:rPr>
        <w:t>PLMN selection principles allow the UE to remain registered in PLMN of country A even after moving to country B or C (Observation 2.1.4)</w:t>
      </w:r>
    </w:p>
    <w:p w:rsidR="00B74501" w:rsidRPr="00F907A6" w:rsidRDefault="00B74501" w:rsidP="00B74501">
      <w:pPr>
        <w:ind w:left="1298"/>
        <w:rPr>
          <w:b/>
        </w:rPr>
      </w:pPr>
      <w:r>
        <w:rPr>
          <w:b/>
        </w:rPr>
        <w:t xml:space="preserve">UEs are allowed to delete </w:t>
      </w:r>
      <w:r w:rsidRPr="00B74501">
        <w:rPr>
          <w:b/>
        </w:rPr>
        <w:t>“5GS forbidden tracking areas for roaming”</w:t>
      </w:r>
      <w:r>
        <w:rPr>
          <w:b/>
        </w:rPr>
        <w:t xml:space="preserve"> and re-try </w:t>
      </w:r>
      <w:r w:rsidR="00F4330A">
        <w:rPr>
          <w:b/>
        </w:rPr>
        <w:t>registration after</w:t>
      </w:r>
      <w:r>
        <w:rPr>
          <w:b/>
        </w:rPr>
        <w:t xml:space="preserve"> 12 to 24 hours</w:t>
      </w:r>
      <w:r w:rsidR="00F4330A">
        <w:rPr>
          <w:b/>
        </w:rPr>
        <w:t xml:space="preserve">. The lack of permanent reject for Forbidden Area increases signalling load </w:t>
      </w:r>
      <w:r w:rsidR="004214E1">
        <w:rPr>
          <w:b/>
        </w:rPr>
        <w:t>if Forbidden Area is applies on a large cell (</w:t>
      </w:r>
      <w:r w:rsidR="00F4330A">
        <w:rPr>
          <w:b/>
        </w:rPr>
        <w:t>TA</w:t>
      </w:r>
      <w:r w:rsidR="004214E1">
        <w:rPr>
          <w:b/>
        </w:rPr>
        <w:t>) coverage area</w:t>
      </w:r>
      <w:r w:rsidR="00F4330A">
        <w:rPr>
          <w:b/>
        </w:rPr>
        <w:t xml:space="preserve"> (Observation 2.3.2)</w:t>
      </w:r>
    </w:p>
    <w:p w:rsidR="00C11E6D" w:rsidRPr="00C11E6D" w:rsidRDefault="00C11E6D" w:rsidP="00C11E6D">
      <w:r>
        <w:t xml:space="preserve">It is proposed that SA2 addresses the above issues </w:t>
      </w:r>
      <w:r w:rsidR="00F85080">
        <w:t xml:space="preserve">at the latest </w:t>
      </w:r>
      <w:r>
        <w:t xml:space="preserve">during the normative phase following the FS_5GSAT_ARCH study. </w:t>
      </w:r>
    </w:p>
    <w:sectPr w:rsidR="00C11E6D" w:rsidRPr="00C11E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0761" w:rsidRDefault="00250761">
      <w:r>
        <w:separator/>
      </w:r>
    </w:p>
    <w:p w:rsidR="00250761" w:rsidRDefault="00250761"/>
  </w:endnote>
  <w:endnote w:type="continuationSeparator" w:id="0">
    <w:p w:rsidR="00250761" w:rsidRDefault="00250761">
      <w:r>
        <w:continuationSeparator/>
      </w:r>
    </w:p>
    <w:p w:rsidR="00250761" w:rsidRDefault="002507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0761" w:rsidRDefault="00250761">
      <w:r>
        <w:separator/>
      </w:r>
    </w:p>
    <w:p w:rsidR="00250761" w:rsidRDefault="00250761"/>
  </w:footnote>
  <w:footnote w:type="continuationSeparator" w:id="0">
    <w:p w:rsidR="00250761" w:rsidRDefault="00250761">
      <w:r>
        <w:continuationSeparator/>
      </w:r>
    </w:p>
    <w:p w:rsidR="00250761" w:rsidRDefault="002507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67253A">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3" w15:restartNumberingAfterBreak="0">
    <w:nsid w:val="76D92ACD"/>
    <w:multiLevelType w:val="hybridMultilevel"/>
    <w:tmpl w:val="1F5C4D8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7AEB5E61"/>
    <w:multiLevelType w:val="hybridMultilevel"/>
    <w:tmpl w:val="D26AC064"/>
    <w:lvl w:ilvl="0" w:tplc="23AAB7C0">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FF10DD8"/>
    <w:multiLevelType w:val="hybridMultilevel"/>
    <w:tmpl w:val="77C8C506"/>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10"/>
  </w:num>
  <w:num w:numId="2">
    <w:abstractNumId w:val="17"/>
  </w:num>
  <w:num w:numId="3">
    <w:abstractNumId w:val="16"/>
  </w:num>
  <w:num w:numId="4">
    <w:abstractNumId w:val="11"/>
  </w:num>
  <w:num w:numId="5">
    <w:abstractNumId w:val="22"/>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4"/>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5"/>
  </w:num>
  <w:num w:numId="26">
    <w:abstractNumId w:val="26"/>
  </w:num>
  <w:num w:numId="27">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222BA"/>
    <w:rsid w:val="00033DF5"/>
    <w:rsid w:val="00036CD4"/>
    <w:rsid w:val="00037C09"/>
    <w:rsid w:val="000630AE"/>
    <w:rsid w:val="00071300"/>
    <w:rsid w:val="00077D47"/>
    <w:rsid w:val="00080EF2"/>
    <w:rsid w:val="000850FC"/>
    <w:rsid w:val="00096BF2"/>
    <w:rsid w:val="000A0A41"/>
    <w:rsid w:val="000A5B11"/>
    <w:rsid w:val="000C644F"/>
    <w:rsid w:val="001050EF"/>
    <w:rsid w:val="001172A3"/>
    <w:rsid w:val="00133043"/>
    <w:rsid w:val="00142D1A"/>
    <w:rsid w:val="00151D17"/>
    <w:rsid w:val="00154EB9"/>
    <w:rsid w:val="00173F40"/>
    <w:rsid w:val="00177EDD"/>
    <w:rsid w:val="0018638B"/>
    <w:rsid w:val="001A4191"/>
    <w:rsid w:val="001B3E7D"/>
    <w:rsid w:val="001B5517"/>
    <w:rsid w:val="001D64F6"/>
    <w:rsid w:val="001D65F6"/>
    <w:rsid w:val="001F6635"/>
    <w:rsid w:val="0020405C"/>
    <w:rsid w:val="002127E7"/>
    <w:rsid w:val="00214A9D"/>
    <w:rsid w:val="00216BE9"/>
    <w:rsid w:val="00220970"/>
    <w:rsid w:val="0022676A"/>
    <w:rsid w:val="00250761"/>
    <w:rsid w:val="00282347"/>
    <w:rsid w:val="0028563F"/>
    <w:rsid w:val="00287EF5"/>
    <w:rsid w:val="002A1484"/>
    <w:rsid w:val="002A3837"/>
    <w:rsid w:val="002C06D2"/>
    <w:rsid w:val="002C3279"/>
    <w:rsid w:val="002D0297"/>
    <w:rsid w:val="002D3907"/>
    <w:rsid w:val="002E7C6F"/>
    <w:rsid w:val="00347EBB"/>
    <w:rsid w:val="003521FA"/>
    <w:rsid w:val="003553E9"/>
    <w:rsid w:val="003658EE"/>
    <w:rsid w:val="00367FF8"/>
    <w:rsid w:val="00385550"/>
    <w:rsid w:val="00387F72"/>
    <w:rsid w:val="00393D0A"/>
    <w:rsid w:val="003A0E4B"/>
    <w:rsid w:val="003A76D4"/>
    <w:rsid w:val="003D2355"/>
    <w:rsid w:val="003D5DDE"/>
    <w:rsid w:val="003E58DF"/>
    <w:rsid w:val="003E69FB"/>
    <w:rsid w:val="003F12D4"/>
    <w:rsid w:val="004002FC"/>
    <w:rsid w:val="004102C1"/>
    <w:rsid w:val="00413188"/>
    <w:rsid w:val="004214E1"/>
    <w:rsid w:val="00424071"/>
    <w:rsid w:val="00440983"/>
    <w:rsid w:val="00474B2E"/>
    <w:rsid w:val="00482E20"/>
    <w:rsid w:val="004934E0"/>
    <w:rsid w:val="004940F6"/>
    <w:rsid w:val="004A1EE5"/>
    <w:rsid w:val="004A2E8B"/>
    <w:rsid w:val="004A6E74"/>
    <w:rsid w:val="004A7EAC"/>
    <w:rsid w:val="004B5CF5"/>
    <w:rsid w:val="004B61FA"/>
    <w:rsid w:val="004B719E"/>
    <w:rsid w:val="004C34C8"/>
    <w:rsid w:val="004F0298"/>
    <w:rsid w:val="004F4E57"/>
    <w:rsid w:val="005326B5"/>
    <w:rsid w:val="00541CE9"/>
    <w:rsid w:val="005454E9"/>
    <w:rsid w:val="005509C5"/>
    <w:rsid w:val="00565F12"/>
    <w:rsid w:val="00582429"/>
    <w:rsid w:val="005905CA"/>
    <w:rsid w:val="005A529C"/>
    <w:rsid w:val="005B0880"/>
    <w:rsid w:val="005B55EB"/>
    <w:rsid w:val="005C0BDC"/>
    <w:rsid w:val="005C5D65"/>
    <w:rsid w:val="005C5FA6"/>
    <w:rsid w:val="005D2FBE"/>
    <w:rsid w:val="005D5320"/>
    <w:rsid w:val="005E44C2"/>
    <w:rsid w:val="005F6F96"/>
    <w:rsid w:val="00607051"/>
    <w:rsid w:val="00614EB5"/>
    <w:rsid w:val="00615D71"/>
    <w:rsid w:val="00620388"/>
    <w:rsid w:val="00640248"/>
    <w:rsid w:val="00657E9F"/>
    <w:rsid w:val="006612B2"/>
    <w:rsid w:val="00667E7C"/>
    <w:rsid w:val="0067253A"/>
    <w:rsid w:val="00675698"/>
    <w:rsid w:val="006868ED"/>
    <w:rsid w:val="006921A3"/>
    <w:rsid w:val="00692A03"/>
    <w:rsid w:val="006B3012"/>
    <w:rsid w:val="006C0C3E"/>
    <w:rsid w:val="006D21FF"/>
    <w:rsid w:val="006E74AC"/>
    <w:rsid w:val="006F446A"/>
    <w:rsid w:val="00705FEA"/>
    <w:rsid w:val="00722962"/>
    <w:rsid w:val="0073482C"/>
    <w:rsid w:val="0076708D"/>
    <w:rsid w:val="00773F6B"/>
    <w:rsid w:val="00777849"/>
    <w:rsid w:val="0078461A"/>
    <w:rsid w:val="007A147C"/>
    <w:rsid w:val="007A3A84"/>
    <w:rsid w:val="007B22C0"/>
    <w:rsid w:val="007E799C"/>
    <w:rsid w:val="007E7AF1"/>
    <w:rsid w:val="007F3F4C"/>
    <w:rsid w:val="007F500E"/>
    <w:rsid w:val="007F7A03"/>
    <w:rsid w:val="008137A0"/>
    <w:rsid w:val="00817E5D"/>
    <w:rsid w:val="00836BBD"/>
    <w:rsid w:val="00870141"/>
    <w:rsid w:val="00877BC5"/>
    <w:rsid w:val="00883B55"/>
    <w:rsid w:val="00896618"/>
    <w:rsid w:val="008B3F7E"/>
    <w:rsid w:val="008B49DF"/>
    <w:rsid w:val="008C401B"/>
    <w:rsid w:val="008D107C"/>
    <w:rsid w:val="008F5935"/>
    <w:rsid w:val="00900043"/>
    <w:rsid w:val="00916E81"/>
    <w:rsid w:val="00924410"/>
    <w:rsid w:val="00930603"/>
    <w:rsid w:val="009415EC"/>
    <w:rsid w:val="0095526E"/>
    <w:rsid w:val="00956595"/>
    <w:rsid w:val="009572C0"/>
    <w:rsid w:val="00971299"/>
    <w:rsid w:val="009872E0"/>
    <w:rsid w:val="009946B8"/>
    <w:rsid w:val="009C68AE"/>
    <w:rsid w:val="009F182F"/>
    <w:rsid w:val="00A01C8E"/>
    <w:rsid w:val="00A0591A"/>
    <w:rsid w:val="00A33192"/>
    <w:rsid w:val="00A41677"/>
    <w:rsid w:val="00A51EE2"/>
    <w:rsid w:val="00A57AC1"/>
    <w:rsid w:val="00A61EBC"/>
    <w:rsid w:val="00A67135"/>
    <w:rsid w:val="00AA3E84"/>
    <w:rsid w:val="00AA76BB"/>
    <w:rsid w:val="00AB42FE"/>
    <w:rsid w:val="00AC3635"/>
    <w:rsid w:val="00AC5C69"/>
    <w:rsid w:val="00AD0ECF"/>
    <w:rsid w:val="00AD1DAC"/>
    <w:rsid w:val="00AD7379"/>
    <w:rsid w:val="00AF64A3"/>
    <w:rsid w:val="00AF7B2E"/>
    <w:rsid w:val="00B23CDE"/>
    <w:rsid w:val="00B43E54"/>
    <w:rsid w:val="00B50985"/>
    <w:rsid w:val="00B65DF9"/>
    <w:rsid w:val="00B74501"/>
    <w:rsid w:val="00BA368D"/>
    <w:rsid w:val="00BA72AE"/>
    <w:rsid w:val="00BA7302"/>
    <w:rsid w:val="00BC2965"/>
    <w:rsid w:val="00BC2F1C"/>
    <w:rsid w:val="00BC62BF"/>
    <w:rsid w:val="00BD267E"/>
    <w:rsid w:val="00BD5878"/>
    <w:rsid w:val="00BD5C23"/>
    <w:rsid w:val="00BF5B4E"/>
    <w:rsid w:val="00BF5CC5"/>
    <w:rsid w:val="00C035EB"/>
    <w:rsid w:val="00C03BC6"/>
    <w:rsid w:val="00C04D0D"/>
    <w:rsid w:val="00C11C20"/>
    <w:rsid w:val="00C11E6D"/>
    <w:rsid w:val="00C178A2"/>
    <w:rsid w:val="00C23677"/>
    <w:rsid w:val="00C30363"/>
    <w:rsid w:val="00C30676"/>
    <w:rsid w:val="00C4636D"/>
    <w:rsid w:val="00C47B70"/>
    <w:rsid w:val="00C709FE"/>
    <w:rsid w:val="00C86E8A"/>
    <w:rsid w:val="00C902C9"/>
    <w:rsid w:val="00C96832"/>
    <w:rsid w:val="00CA644F"/>
    <w:rsid w:val="00CA7E6A"/>
    <w:rsid w:val="00CB5151"/>
    <w:rsid w:val="00CB730B"/>
    <w:rsid w:val="00CB76A4"/>
    <w:rsid w:val="00CC5766"/>
    <w:rsid w:val="00D0771F"/>
    <w:rsid w:val="00D12BE9"/>
    <w:rsid w:val="00D264C6"/>
    <w:rsid w:val="00D31BDD"/>
    <w:rsid w:val="00D4680C"/>
    <w:rsid w:val="00D52099"/>
    <w:rsid w:val="00D65B01"/>
    <w:rsid w:val="00D731CF"/>
    <w:rsid w:val="00D939B1"/>
    <w:rsid w:val="00DA4E00"/>
    <w:rsid w:val="00DD7403"/>
    <w:rsid w:val="00DE6B99"/>
    <w:rsid w:val="00DF736E"/>
    <w:rsid w:val="00DF7AD5"/>
    <w:rsid w:val="00DF7FB6"/>
    <w:rsid w:val="00E408B6"/>
    <w:rsid w:val="00E538D8"/>
    <w:rsid w:val="00E61384"/>
    <w:rsid w:val="00E64683"/>
    <w:rsid w:val="00E7283F"/>
    <w:rsid w:val="00E77BAF"/>
    <w:rsid w:val="00E80E1D"/>
    <w:rsid w:val="00E97039"/>
    <w:rsid w:val="00EA1BB3"/>
    <w:rsid w:val="00EA51F1"/>
    <w:rsid w:val="00EE3B2E"/>
    <w:rsid w:val="00F051AE"/>
    <w:rsid w:val="00F24C65"/>
    <w:rsid w:val="00F4330A"/>
    <w:rsid w:val="00F85080"/>
    <w:rsid w:val="00F907A6"/>
    <w:rsid w:val="00F9126D"/>
    <w:rsid w:val="00F956BC"/>
    <w:rsid w:val="00FC0FB8"/>
    <w:rsid w:val="00FC140F"/>
    <w:rsid w:val="00FC5DB0"/>
    <w:rsid w:val="00FD7189"/>
    <w:rsid w:val="00FD75D5"/>
    <w:rsid w:val="00FE584B"/>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AAD7D0"/>
  <w15:chartTrackingRefBased/>
  <w15:docId w15:val="{6EA16ACD-04A9-491B-8DC0-B81735C1DA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TableGrid">
    <w:name w:val="Table Grid"/>
    <w:basedOn w:val="TableNormal"/>
    <w:rsid w:val="00F956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65F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869024070">
      <w:bodyDiv w:val="1"/>
      <w:marLeft w:val="0"/>
      <w:marRight w:val="0"/>
      <w:marTop w:val="0"/>
      <w:marBottom w:val="0"/>
      <w:divBdr>
        <w:top w:val="none" w:sz="0" w:space="0" w:color="auto"/>
        <w:left w:val="none" w:sz="0" w:space="0" w:color="auto"/>
        <w:bottom w:val="none" w:sz="0" w:space="0" w:color="auto"/>
        <w:right w:val="none" w:sz="0" w:space="0" w:color="auto"/>
      </w:divBdr>
    </w:div>
    <w:div w:id="1978752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4.vsd"/><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3.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4.xml><?xml version="1.0" encoding="utf-8"?>
<ds:datastoreItem xmlns:ds="http://schemas.openxmlformats.org/officeDocument/2006/customXml" ds:itemID="{D1A553D5-8BF2-469B-A10C-989D913F2544}">
  <ds:schemaRefs>
    <ds:schemaRef ds:uri="http://schemas.microsoft.com/sharepoint/v3/contenttype/forms"/>
  </ds:schemaRefs>
</ds:datastoreItem>
</file>

<file path=customXml/itemProps5.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1685</TotalTime>
  <Pages>4</Pages>
  <Words>1252</Words>
  <Characters>10146</Characters>
  <Application>Microsoft Office Word</Application>
  <DocSecurity>0</DocSecurity>
  <Lines>84</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Hietalahti, Hannu (Nokia - FI/Oulu)</cp:lastModifiedBy>
  <cp:revision>83</cp:revision>
  <cp:lastPrinted>2003-09-26T09:29:00Z</cp:lastPrinted>
  <dcterms:created xsi:type="dcterms:W3CDTF">2019-06-05T09:36:00Z</dcterms:created>
  <dcterms:modified xsi:type="dcterms:W3CDTF">2019-11-08T11:45:00Z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